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tl w:val="0"/>
        </w:rPr>
        <w:t xml:space="preserve">Professional Summary</w:t>
        <w:br w:type="textWrapping"/>
      </w:r>
    </w:p>
    <w:p w:rsidR="00000000" w:rsidDel="00000000" w:rsidP="00000000" w:rsidRDefault="00000000" w:rsidRPr="00000000" w14:paraId="00000002">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I'm a Human Factors and Ergonomics professional who bridges the gap between theory and practice,  combining academic expertise with hands-on operational experience as a career U.S. Coast Guard Officer. I bring a grounded, real-world approach to user-centered design. I’ve spent over two decades leading teams and working across disciplines to make complex systems safer, more intuitive, and more resilient. Whether I’m immersed in end-user environments, collaborating with engineers, or strategizing with C-suite executives, my focus remains the same: creating efficient, effective, and safe systems that work for the people they serve. </w:t>
      </w:r>
    </w:p>
    <w:p w:rsidR="00000000" w:rsidDel="00000000" w:rsidP="00000000" w:rsidRDefault="00000000" w:rsidRPr="00000000" w14:paraId="00000003">
      <w:pPr>
        <w:spacing w:line="276" w:lineRule="auto"/>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04">
      <w:pPr>
        <w:spacing w:line="240" w:lineRule="auto"/>
        <w:ind w:left="0" w:firstLine="0"/>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Experience</w:t>
        <w:br w:type="textWrapping"/>
        <w:br w:type="textWrapping"/>
      </w:r>
      <w:r w:rsidDel="00000000" w:rsidR="00000000" w:rsidRPr="00000000">
        <w:rPr>
          <w:rFonts w:ascii="Source Sans Pro" w:cs="Source Sans Pro" w:eastAsia="Source Sans Pro" w:hAnsi="Source Sans Pro"/>
          <w:color w:val="060f18"/>
          <w:sz w:val="24"/>
          <w:szCs w:val="24"/>
          <w:u w:val="single"/>
          <w:rtl w:val="0"/>
        </w:rPr>
        <w:t xml:space="preserve">Independent Usability Consultant</w:t>
      </w:r>
      <w:r w:rsidDel="00000000" w:rsidR="00000000" w:rsidRPr="00000000">
        <w:rPr>
          <w:rFonts w:ascii="Source Sans Pro" w:cs="Source Sans Pro" w:eastAsia="Source Sans Pro" w:hAnsi="Source Sans Pro"/>
          <w:color w:val="060f18"/>
          <w:sz w:val="24"/>
          <w:szCs w:val="24"/>
          <w:rtl w:val="0"/>
        </w:rPr>
        <w:t xml:space="preserve"> • MO Human Factors Consulting (Sole Proprietor) • Monterey, CA (Sept </w:t>
        <w:br w:type="textWrapping"/>
        <w:br w:type="textWrapping"/>
        <w:t xml:space="preserve">2025- Present)</w:t>
      </w:r>
    </w:p>
    <w:p w:rsidR="00000000" w:rsidDel="00000000" w:rsidP="00000000" w:rsidRDefault="00000000" w:rsidRPr="00000000" w14:paraId="00000005">
      <w:pPr>
        <w:spacing w:line="240" w:lineRule="auto"/>
        <w:ind w:left="0" w:firstLine="0"/>
        <w:rPr>
          <w:rFonts w:ascii="Source Sans Pro" w:cs="Source Sans Pro" w:eastAsia="Source Sans Pro" w:hAnsi="Source Sans Pro"/>
          <w:b w:val="1"/>
          <w:bCs w:val="1"/>
          <w:color w:val="060f18"/>
          <w:sz w:val="24"/>
          <w:szCs w:val="24"/>
        </w:rPr>
      </w:pPr>
      <w:r w:rsidDel="00000000" w:rsidR="00000000" w:rsidRPr="00000000">
        <w:rPr>
          <w:rtl w:val="0"/>
        </w:rPr>
      </w:r>
    </w:p>
    <w:p w:rsidR="00000000" w:rsidDel="00000000" w:rsidP="00000000" w:rsidRDefault="00000000" w:rsidRPr="00000000" w14:paraId="00000006">
      <w:pPr>
        <w:numPr>
          <w:ilvl w:val="0"/>
          <w:numId w:val="2"/>
        </w:numPr>
        <w:spacing w:line="240" w:lineRule="auto"/>
        <w:ind w:left="720" w:hanging="360"/>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color w:val="060f18"/>
          <w:sz w:val="24"/>
          <w:szCs w:val="24"/>
          <w:rtl w:val="0"/>
        </w:rPr>
        <w:t xml:space="preserve">Providing human-centered design, usability, and customer engagement strategy for HL7 International’s  Business Process Modeling Community, including creation of new information architecture, tailored messaging  &amp; bespoke website design. </w:t>
        <w:br w:type="textWrapping"/>
      </w:r>
    </w:p>
    <w:p w:rsidR="00000000" w:rsidDel="00000000" w:rsidP="00000000" w:rsidRDefault="00000000" w:rsidRPr="00000000" w14:paraId="00000007">
      <w:pPr>
        <w:numPr>
          <w:ilvl w:val="0"/>
          <w:numId w:val="2"/>
        </w:numPr>
        <w:spacing w:line="240" w:lineRule="auto"/>
        <w:ind w:left="720" w:hanging="360"/>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color w:val="060f18"/>
          <w:sz w:val="24"/>
          <w:szCs w:val="24"/>
          <w:rtl w:val="0"/>
        </w:rPr>
        <w:t xml:space="preserve">Providing Human Performance/Human Factors consulting expertise for the Maritime Pilot’s Institute  (Covington, LA), including ground-up design of a new ‘Pilot Readiness and Pilot Health’ curriculum.</w:t>
      </w:r>
      <w:r w:rsidDel="00000000" w:rsidR="00000000" w:rsidRPr="00000000">
        <w:rPr>
          <w:rtl w:val="0"/>
        </w:rPr>
      </w:r>
    </w:p>
    <w:p w:rsidR="00000000" w:rsidDel="00000000" w:rsidP="00000000" w:rsidRDefault="00000000" w:rsidRPr="00000000" w14:paraId="00000008">
      <w:pPr>
        <w:spacing w:line="240" w:lineRule="auto"/>
        <w:rPr>
          <w:rFonts w:ascii="Source Sans Pro" w:cs="Source Sans Pro" w:eastAsia="Source Sans Pro" w:hAnsi="Source Sans Pro"/>
          <w:b w:val="1"/>
          <w:bCs w:val="1"/>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br w:type="textWrapping"/>
      </w:r>
      <w:r w:rsidDel="00000000" w:rsidR="00000000" w:rsidRPr="00000000">
        <w:rPr>
          <w:rFonts w:ascii="Source Sans Pro" w:cs="Source Sans Pro" w:eastAsia="Source Sans Pro" w:hAnsi="Source Sans Pro"/>
          <w:color w:val="060f18"/>
          <w:sz w:val="24"/>
          <w:szCs w:val="24"/>
          <w:u w:val="single"/>
          <w:rtl w:val="0"/>
        </w:rPr>
        <w:t xml:space="preserve">Supervisory Engineering Psychologist/Chief Systems Engineer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Veterans Health Administration - Digital Health Office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Monterey, CA (Jan 2023- Sept 2024, full-time 40hrs per week)</w:t>
      </w:r>
      <w:r w:rsidDel="00000000" w:rsidR="00000000" w:rsidRPr="00000000">
        <w:rPr>
          <w:rtl w:val="0"/>
        </w:rPr>
      </w:r>
    </w:p>
    <w:p w:rsidR="00000000" w:rsidDel="00000000" w:rsidP="00000000" w:rsidRDefault="00000000" w:rsidRPr="00000000" w14:paraId="00000009">
      <w:pPr>
        <w:spacing w:line="276" w:lineRule="auto"/>
        <w:rPr>
          <w:rFonts w:ascii="Source Sans Pro" w:cs="Source Sans Pro" w:eastAsia="Source Sans Pro" w:hAnsi="Source Sans Pro"/>
          <w:b w:val="1"/>
          <w:bCs w:val="1"/>
          <w:color w:val="060f18"/>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Supervised three Senior Engineering Psychologists/Senior Computer Engineers in the delivery of Human Factors and Patient Safety initiatives across VHA’s 1200 facilities.</w:t>
        <w:br w:type="textWrapping"/>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Served as an independent program lead for the establishment of four new clinical informatics business lines (Human Systems Engineering, Instructional Systems Design, Systems Safety, and Applied Systems Analysis) with a combined budget of more than $4.5M.</w:t>
        <w:br w:type="textWrapping"/>
        <w:t xml:space="preserve"> </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Oversaw multi-year research collaboration with MITRE, forging deep relationships with 10 SMEs to help define each business line’s mission, value proposition, stakeholders, and initial product offerings. Oversaw the development of program plans, budgets, acquisition strategies, and procurement packages to support each new business line.      </w:t>
        <w:br w:type="textWrapping"/>
        <w:t xml:space="preserve">  </w:t>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Initiated </w:t>
      </w:r>
      <w:r w:rsidDel="00000000" w:rsidR="00000000" w:rsidRPr="00000000">
        <w:rPr>
          <w:rFonts w:ascii="Source Sans Pro" w:cs="Source Sans Pro" w:eastAsia="Source Sans Pro" w:hAnsi="Source Sans Pro"/>
          <w:b w:val="0"/>
          <w:bCs w:val="0"/>
          <w:i w:val="1"/>
          <w:iCs w:val="1"/>
          <w:smallCaps w:val="0"/>
          <w:strike w:val="0"/>
          <w:color w:val="060f18"/>
          <w:sz w:val="24"/>
          <w:szCs w:val="24"/>
          <w:u w:val="none"/>
          <w:shd w:fill="auto" w:val="clear"/>
          <w:vertAlign w:val="baseline"/>
          <w:rtl w:val="0"/>
        </w:rPr>
        <w:t xml:space="preserve">Improving Primary Care Referrals</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project, leading a multi-tiered analysis of referral workflow in VHA's EHR system; devised a novel format to express pain points at multiple system echelons, including detailed capture of foundational business capabilities, clinical workflows, pain points in UI’s</w:t>
      </w:r>
      <w:r w:rsidDel="00000000" w:rsidR="00000000" w:rsidRPr="00000000">
        <w:rPr>
          <w:rFonts w:ascii="Source Sans Pro" w:cs="Source Sans Pro" w:eastAsia="Source Sans Pro" w:hAnsi="Source Sans Pro"/>
          <w:color w:val="060f18"/>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and VHA policy. Creating an unprecedented focal point for mutual understanding of issues across disciplines and stakeholders.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Served as a track co-lead for HL7 International’s </w:t>
      </w:r>
      <w:r w:rsidDel="00000000" w:rsidR="00000000" w:rsidRPr="00000000">
        <w:rPr>
          <w:rFonts w:ascii="Source Sans Pro" w:cs="Source Sans Pro" w:eastAsia="Source Sans Pro" w:hAnsi="Source Sans Pro"/>
          <w:b w:val="0"/>
          <w:bCs w:val="0"/>
          <w:i w:val="1"/>
          <w:iCs w:val="1"/>
          <w:smallCaps w:val="0"/>
          <w:strike w:val="0"/>
          <w:color w:val="060f18"/>
          <w:sz w:val="24"/>
          <w:szCs w:val="24"/>
          <w:u w:val="none"/>
          <w:shd w:fill="auto" w:val="clear"/>
          <w:vertAlign w:val="baseline"/>
          <w:rtl w:val="0"/>
        </w:rPr>
        <w:t xml:space="preserve">Mental Health Connectathon 34</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bringing together industry experts from the BPM plus and HL7 FHIR communities and Mental Health thought leaders from VHA. Co-facilitated two-day workshop to devise and demonstrate novel approaches for coordinating inter-organizational mental health care for veterans, combining the best aspects of BPM+ workflow orchestration and interoperable FHIR assets.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Secured interagency personnel agreement (Indian Health Service) and research partnership (University of Utah) to leverage </w:t>
      </w:r>
      <w:r w:rsidDel="00000000" w:rsidR="00000000" w:rsidRPr="00000000">
        <w:rPr>
          <w:rFonts w:ascii="Source Sans Pro" w:cs="Source Sans Pro" w:eastAsia="Source Sans Pro" w:hAnsi="Source Sans Pro"/>
          <w:color w:val="060f18"/>
          <w:sz w:val="24"/>
          <w:szCs w:val="24"/>
          <w:rtl w:val="0"/>
        </w:rPr>
        <w:t xml:space="preserve">a </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widely recognized expert in information architecture and clinical pathways modeling to support work portfolio.</w:t>
        <w:br w:type="textWrapping"/>
      </w:r>
    </w:p>
    <w:p w:rsidR="00000000" w:rsidDel="00000000" w:rsidP="00000000" w:rsidRDefault="00000000" w:rsidRPr="00000000" w14:paraId="00000012">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u w:val="single"/>
          <w:rtl w:val="0"/>
        </w:rPr>
        <w:t xml:space="preserve">Lecturer in Human Systems Integration</w:t>
      </w:r>
      <w:r w:rsidDel="00000000" w:rsidR="00000000" w:rsidRPr="00000000">
        <w:rPr>
          <w:rFonts w:ascii="Source Sans Pro" w:cs="Source Sans Pro" w:eastAsia="Source Sans Pro" w:hAnsi="Source Sans Pro"/>
          <w:color w:val="060f18"/>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Naval Postgraduate School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Monterey, CA</w:t>
      </w:r>
      <w:r w:rsidDel="00000000" w:rsidR="00000000" w:rsidRPr="00000000">
        <w:rPr>
          <w:rFonts w:ascii="Source Sans Pro" w:cs="Source Sans Pro" w:eastAsia="Source Sans Pro" w:hAnsi="Source Sans Pro"/>
          <w:color w:val="060f18"/>
          <w:sz w:val="24"/>
          <w:szCs w:val="24"/>
          <w:rtl w:val="0"/>
        </w:rPr>
        <w:t xml:space="preserve"> </w:t>
        <w:br w:type="textWrapping"/>
        <w:t xml:space="preserve">(June 2019-Dec 2023, full-time 40hrs per week)</w:t>
      </w:r>
      <w:r w:rsidDel="00000000" w:rsidR="00000000" w:rsidRPr="00000000">
        <w:rPr>
          <w:rFonts w:ascii="Source Sans Pro" w:cs="Source Sans Pro" w:eastAsia="Source Sans Pro" w:hAnsi="Source Sans Pro"/>
          <w:b w:val="1"/>
          <w:bCs w:val="1"/>
          <w:color w:val="060f18"/>
          <w:sz w:val="24"/>
          <w:szCs w:val="24"/>
          <w:rtl w:val="0"/>
        </w:rPr>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Deliver</w:t>
      </w:r>
      <w:r w:rsidDel="00000000" w:rsidR="00000000" w:rsidRPr="00000000">
        <w:rPr>
          <w:rFonts w:ascii="Source Sans Pro" w:cs="Source Sans Pro" w:eastAsia="Source Sans Pro" w:hAnsi="Source Sans Pro"/>
          <w:color w:val="060f18"/>
          <w:sz w:val="24"/>
          <w:szCs w:val="24"/>
          <w:rtl w:val="0"/>
        </w:rPr>
        <w:t xml:space="preserve">ed</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top-notch instruction to 400 resident and distance-learning students during 21 course convenings; Drafted syllabi, tailored course sites, sourced readings, prepared lectures, facilitated in-class activities, and created targeted assessments to meet course objectives. Consistently earned top-tier instructor ratings. </w:t>
        <w:br w:type="textWrapping"/>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Advised five Master’s capstone papers and one master’s thesis. Provided tailored coaching, guidance</w:t>
      </w:r>
      <w:r w:rsidDel="00000000" w:rsidR="00000000" w:rsidRPr="00000000">
        <w:rPr>
          <w:rFonts w:ascii="Source Sans Pro" w:cs="Source Sans Pro" w:eastAsia="Source Sans Pro" w:hAnsi="Source Sans Pro"/>
          <w:color w:val="060f18"/>
          <w:sz w:val="24"/>
          <w:szCs w:val="24"/>
          <w:rtl w:val="0"/>
        </w:rPr>
        <w:t xml:space="preserve">, and</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counseling during </w:t>
      </w:r>
      <w:r w:rsidDel="00000000" w:rsidR="00000000" w:rsidRPr="00000000">
        <w:rPr>
          <w:rFonts w:ascii="Source Sans Pro" w:cs="Source Sans Pro" w:eastAsia="Source Sans Pro" w:hAnsi="Source Sans Pro"/>
          <w:color w:val="060f18"/>
          <w:sz w:val="24"/>
          <w:szCs w:val="24"/>
          <w:rtl w:val="0"/>
        </w:rPr>
        <w:t xml:space="preserve">students’</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culminating academic experience, contributing nine academic-quality research papers to the HSI literature.</w:t>
      </w:r>
    </w:p>
    <w:p w:rsidR="00000000" w:rsidDel="00000000" w:rsidP="00000000" w:rsidRDefault="00000000" w:rsidRPr="00000000" w14:paraId="00000015">
      <w:pPr>
        <w:spacing w:line="276" w:lineRule="auto"/>
        <w:ind w:left="720" w:firstLine="0"/>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Overhauled two graduate courses, </w:t>
      </w:r>
      <w:r w:rsidDel="00000000" w:rsidR="00000000" w:rsidRPr="00000000">
        <w:rPr>
          <w:rFonts w:ascii="Source Sans Pro" w:cs="Source Sans Pro" w:eastAsia="Source Sans Pro" w:hAnsi="Source Sans Pro"/>
          <w:color w:val="060f18"/>
          <w:sz w:val="24"/>
          <w:szCs w:val="24"/>
          <w:rtl w:val="0"/>
        </w:rPr>
        <w:t xml:space="preserve">including revised</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learning objectives, new course sites, and 20 new lesson modules with 300+ slides and 150 pages of professional-quality narration. Integrated a new textbook and created 20 assignments</w:t>
      </w:r>
      <w:r w:rsidDel="00000000" w:rsidR="00000000" w:rsidRPr="00000000">
        <w:rPr>
          <w:rFonts w:ascii="Source Sans Pro" w:cs="Source Sans Pro" w:eastAsia="Source Sans Pro" w:hAnsi="Source Sans Pro"/>
          <w:color w:val="060f18"/>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including applied problems and practicum/labs. </w:t>
      </w:r>
    </w:p>
    <w:p w:rsidR="00000000" w:rsidDel="00000000" w:rsidP="00000000" w:rsidRDefault="00000000" w:rsidRPr="00000000" w14:paraId="00000017">
      <w:pPr>
        <w:spacing w:line="276" w:lineRule="auto"/>
        <w:ind w:left="720" w:firstLine="0"/>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Lead investigator for two DoD research tasks. Independently scoped, managed</w:t>
      </w:r>
      <w:r w:rsidDel="00000000" w:rsidR="00000000" w:rsidRPr="00000000">
        <w:rPr>
          <w:rFonts w:ascii="Source Sans Pro" w:cs="Source Sans Pro" w:eastAsia="Source Sans Pro" w:hAnsi="Source Sans Pro"/>
          <w:color w:val="060f18"/>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and executed research examining capability gaps for DoD R&amp;E/AT&amp;L, development of Human Systems workforce competencies for NSWC Philadelphia Division, and Human-Autonomy Teaming in Cyber Network Defense for NIWC Pacific.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1440" w:right="0" w:firstLine="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Spearheaded redesign of the NPS Crew Endurance Team website</w:t>
      </w:r>
      <w:r w:rsidDel="00000000" w:rsidR="00000000" w:rsidRPr="00000000">
        <w:rPr>
          <w:rFonts w:ascii="Source Sans Pro" w:cs="Source Sans Pro" w:eastAsia="Source Sans Pro" w:hAnsi="Source Sans Pro"/>
          <w:color w:val="060f18"/>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including stakeholder analysis, content audit, and development of tailored user engagement strategy. Created new site architecture, conceptualized core media elements and interactives, and delivered detailed wireframes/mockups to developers.</w:t>
      </w:r>
    </w:p>
    <w:p w:rsidR="00000000" w:rsidDel="00000000" w:rsidP="00000000" w:rsidRDefault="00000000" w:rsidRPr="00000000" w14:paraId="0000001B">
      <w:pPr>
        <w:spacing w:line="276" w:lineRule="auto"/>
        <w:ind w:left="720" w:firstLine="0"/>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Co-founded the DoD Human Systems Community of Practice (HSI COP) with members of DoD R&amp;E/AT&amp;L and DAU faculty.  </w:t>
      </w:r>
    </w:p>
    <w:p w:rsidR="00000000" w:rsidDel="00000000" w:rsidP="00000000" w:rsidRDefault="00000000" w:rsidRPr="00000000" w14:paraId="0000001D">
      <w:pPr>
        <w:spacing w:line="276" w:lineRule="auto"/>
        <w:jc w:val="center"/>
        <w:rPr>
          <w:rFonts w:ascii="Source Sans Pro" w:cs="Source Sans Pro" w:eastAsia="Source Sans Pro" w:hAnsi="Source Sans Pro"/>
          <w:b w:val="1"/>
          <w:bCs w:val="1"/>
          <w:color w:val="060f18"/>
          <w:sz w:val="24"/>
          <w:szCs w:val="24"/>
        </w:rPr>
      </w:pPr>
      <w:r w:rsidDel="00000000" w:rsidR="00000000" w:rsidRPr="00000000">
        <w:rPr>
          <w:rtl w:val="0"/>
        </w:rPr>
      </w:r>
    </w:p>
    <w:p w:rsidR="00000000" w:rsidDel="00000000" w:rsidP="00000000" w:rsidRDefault="00000000" w:rsidRPr="00000000" w14:paraId="0000001E">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060f18"/>
          <w:sz w:val="24"/>
          <w:szCs w:val="24"/>
          <w:u w:val="single"/>
          <w:rtl w:val="0"/>
        </w:rPr>
        <w:t xml:space="preserve">Innovation Program Manager</w:t>
      </w:r>
      <w:r w:rsidDel="00000000" w:rsidR="00000000" w:rsidRPr="00000000">
        <w:rPr>
          <w:rFonts w:ascii="Source Sans Pro" w:cs="Source Sans Pro" w:eastAsia="Source Sans Pro" w:hAnsi="Source Sans Pro"/>
          <w:color w:val="060f18"/>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U.S. Coast Guard Headquarters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Washington, DC</w:t>
      </w:r>
    </w:p>
    <w:p w:rsidR="00000000" w:rsidDel="00000000" w:rsidP="00000000" w:rsidRDefault="00000000" w:rsidRPr="00000000" w14:paraId="0000001F">
      <w:pPr>
        <w:spacing w:line="276" w:lineRule="auto"/>
        <w:rPr>
          <w:rFonts w:ascii="Source Sans Pro" w:cs="Source Sans Pro" w:eastAsia="Source Sans Pro" w:hAnsi="Source Sans Pro"/>
          <w:color w:val="060f18"/>
          <w:sz w:val="24"/>
          <w:szCs w:val="24"/>
          <w:u w:val="single"/>
        </w:rPr>
      </w:pPr>
      <w:r w:rsidDel="00000000" w:rsidR="00000000" w:rsidRPr="00000000">
        <w:rPr>
          <w:rFonts w:ascii="Source Sans Pro" w:cs="Source Sans Pro" w:eastAsia="Source Sans Pro" w:hAnsi="Source Sans Pro"/>
          <w:color w:val="060f18"/>
          <w:sz w:val="24"/>
          <w:szCs w:val="24"/>
          <w:rtl w:val="0"/>
        </w:rPr>
        <w:t xml:space="preserve">(July 2018- June 2019, full-time 40 hours per week) </w:t>
      </w:r>
      <w:r w:rsidDel="00000000" w:rsidR="00000000" w:rsidRPr="00000000">
        <w:rPr>
          <w:rtl w:val="0"/>
        </w:rPr>
      </w:r>
    </w:p>
    <w:p w:rsidR="00000000" w:rsidDel="00000000" w:rsidP="00000000" w:rsidRDefault="00000000" w:rsidRPr="00000000" w14:paraId="00000020">
      <w:pPr>
        <w:spacing w:line="276" w:lineRule="auto"/>
        <w:rPr>
          <w:rFonts w:ascii="Source Sans Pro" w:cs="Source Sans Pro" w:eastAsia="Source Sans Pro" w:hAnsi="Source Sans Pro"/>
          <w:color w:val="060f18"/>
          <w:sz w:val="24"/>
          <w:szCs w:val="24"/>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color w:val="060f18"/>
          <w:sz w:val="24"/>
          <w:szCs w:val="24"/>
          <w:rtl w:val="0"/>
        </w:rPr>
        <w:t xml:space="preserve">Led the Coast Guard  Innovation Council, coordinating efforts of 20 C-suite executives to cultivate, develop, and field workforce-led innovations. Coordinated idea collection, curation, and incubation, strategic communications, CG-Industry technology expositions, and national idea pitching events.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Source Sans Pro" w:cs="Source Sans Pro" w:eastAsia="Source Sans Pro" w:hAnsi="Source Sans Pro"/>
          <w:color w:val="060f18"/>
          <w:sz w:val="24"/>
          <w:szCs w:val="24"/>
          <w:u w:val="no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color w:val="060f18"/>
          <w:sz w:val="24"/>
          <w:szCs w:val="24"/>
          <w:rtl w:val="0"/>
        </w:rPr>
        <w:t xml:space="preserve">Advised senior-most  Coast Guard executives, including the Vice Commandant and Deputy Commandants for Operations and Mission Support (3-star Admirals) on innovation and emerging technology. Developed issue papers, executive talking points, and context briefings for legislative engagements.</w:t>
        <w:br w:type="textWrapping"/>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color w:val="060f18"/>
          <w:sz w:val="24"/>
          <w:szCs w:val="24"/>
          <w:u w:val="none"/>
        </w:rPr>
      </w:pPr>
      <w:r w:rsidDel="00000000" w:rsidR="00000000" w:rsidRPr="00000000">
        <w:rPr>
          <w:rFonts w:ascii="Source Sans Pro" w:cs="Source Sans Pro" w:eastAsia="Source Sans Pro" w:hAnsi="Source Sans Pro"/>
          <w:color w:val="060f18"/>
          <w:sz w:val="24"/>
          <w:szCs w:val="24"/>
          <w:rtl w:val="0"/>
        </w:rPr>
        <w:t xml:space="preserve">Administered</w:t>
      </w:r>
      <w:r w:rsidDel="00000000" w:rsidR="00000000" w:rsidRPr="00000000">
        <w:rPr>
          <w:rFonts w:ascii="Source Sans Pro" w:cs="Source Sans Pro" w:eastAsia="Source Sans Pro" w:hAnsi="Source Sans Pro"/>
          <w:color w:val="060f18"/>
          <w:sz w:val="24"/>
          <w:szCs w:val="24"/>
          <w:rtl w:val="0"/>
        </w:rPr>
        <w:t xml:space="preserve"> the Coast Guard’s instance of IdeaScale® SaaS crowd-sourcing platform, serving 11,000 registered users. Conceived, launched, and managed eleven multi-month innovation campaigns, carrying out moderation, post-challenge analysis, and implementation plan development.</w:t>
      </w:r>
      <w:r w:rsidDel="00000000" w:rsidR="00000000" w:rsidRPr="00000000">
        <w:rPr>
          <w:rtl w:val="0"/>
        </w:rPr>
      </w:r>
    </w:p>
    <w:p w:rsidR="00000000" w:rsidDel="00000000" w:rsidP="00000000" w:rsidRDefault="00000000" w:rsidRPr="00000000" w14:paraId="00000025">
      <w:pPr>
        <w:spacing w:line="276" w:lineRule="auto"/>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26">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u w:val="single"/>
          <w:rtl w:val="0"/>
        </w:rPr>
        <w:t xml:space="preserve">Human Systems Integration Team Lead (CG-1B3)</w:t>
      </w:r>
      <w:r w:rsidDel="00000000" w:rsidR="00000000" w:rsidRPr="00000000">
        <w:rPr>
          <w:rFonts w:ascii="Source Sans Pro" w:cs="Source Sans Pro" w:eastAsia="Source Sans Pro" w:hAnsi="Source Sans Pro"/>
          <w:color w:val="060f18"/>
          <w:sz w:val="24"/>
          <w:szCs w:val="24"/>
          <w:rtl w:val="0"/>
        </w:rPr>
        <w:t xml:space="preserve">, Coast Guard Headquarters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Washington, DC</w:t>
      </w:r>
      <w:r w:rsidDel="00000000" w:rsidR="00000000" w:rsidRPr="00000000">
        <w:rPr>
          <w:rFonts w:ascii="Source Sans Pro" w:cs="Source Sans Pro" w:eastAsia="Source Sans Pro" w:hAnsi="Source Sans Pro"/>
          <w:color w:val="060f18"/>
          <w:sz w:val="24"/>
          <w:szCs w:val="24"/>
          <w:rtl w:val="0"/>
        </w:rPr>
        <w:t xml:space="preserve"> </w:t>
      </w:r>
    </w:p>
    <w:p w:rsidR="00000000" w:rsidDel="00000000" w:rsidP="00000000" w:rsidRDefault="00000000" w:rsidRPr="00000000" w14:paraId="00000027">
      <w:pPr>
        <w:spacing w:line="276" w:lineRule="auto"/>
        <w:rPr>
          <w:rFonts w:ascii="Source Sans Pro" w:cs="Source Sans Pro" w:eastAsia="Source Sans Pro" w:hAnsi="Source Sans Pro"/>
          <w:color w:val="060f18"/>
          <w:sz w:val="24"/>
          <w:szCs w:val="24"/>
          <w:u w:val="single"/>
        </w:rPr>
      </w:pPr>
      <w:r w:rsidDel="00000000" w:rsidR="00000000" w:rsidRPr="00000000">
        <w:rPr>
          <w:rFonts w:ascii="Source Sans Pro" w:cs="Source Sans Pro" w:eastAsia="Source Sans Pro" w:hAnsi="Source Sans Pro"/>
          <w:color w:val="060f18"/>
          <w:sz w:val="24"/>
          <w:szCs w:val="24"/>
          <w:rtl w:val="0"/>
        </w:rPr>
        <w:t xml:space="preserve">(July 2014 – June 2018, full-time 40 hours per week)</w:t>
      </w:r>
      <w:r w:rsidDel="00000000" w:rsidR="00000000" w:rsidRPr="00000000">
        <w:rPr>
          <w:rFonts w:ascii="Source Sans Pro" w:cs="Source Sans Pro" w:eastAsia="Source Sans Pro" w:hAnsi="Source Sans Pro"/>
          <w:sz w:val="24"/>
          <w:szCs w:val="24"/>
          <w:rtl w:val="0"/>
        </w:rPr>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Technical Warrant Holder (equivalent to Principal Engineer) for Human Performance Support and Training, with purview of surface, air</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and information systems serving 80,000 end users. Direct advisor to senior executives and program managers on Human </w:t>
      </w:r>
      <w:r w:rsidDel="00000000" w:rsidR="00000000" w:rsidRPr="00000000">
        <w:rPr>
          <w:rFonts w:ascii="Source Sans Pro" w:cs="Source Sans Pro" w:eastAsia="Source Sans Pro" w:hAnsi="Source Sans Pro"/>
          <w:sz w:val="24"/>
          <w:szCs w:val="24"/>
          <w:rtl w:val="0"/>
        </w:rPr>
        <w:t xml:space="preserve">Factors</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Human-Centered Design</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and Usability. </w:t>
        <w:br w:type="textWrapping"/>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Supervised three mid-senior practitioners charged with implementing user-centered design across the USCG’s $1.5B/year acquisition portfolio. Drafted and integrated user-centered design requirements for the 47-foot Motor Lifeboat, Fast Response Cutter, Offshore Patrol Cutter, National Security Cutter, HH-65E Response Helicopter, and Financial Management Systems II.</w:t>
      </w:r>
    </w:p>
    <w:p w:rsidR="00000000" w:rsidDel="00000000" w:rsidP="00000000" w:rsidRDefault="00000000" w:rsidRPr="00000000" w14:paraId="0000002A">
      <w:pPr>
        <w:spacing w:line="276" w:lineRule="auto"/>
        <w:ind w:left="720" w:firstLine="0"/>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Led 300+ hours of hands-on usability assessment</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including interviews, walk-through/talk-throughs, focus groups, affinity diagramming, low-fidelity prototyping, participatory design, crowd-sourcing, and mock-up assessments. Developed a high-impact format to capture and communicate system usability deficiencies.</w:t>
      </w:r>
    </w:p>
    <w:p w:rsidR="00000000" w:rsidDel="00000000" w:rsidP="00000000" w:rsidRDefault="00000000" w:rsidRPr="00000000" w14:paraId="0000002C">
      <w:pPr>
        <w:spacing w:line="276" w:lineRule="auto"/>
        <w:ind w:left="720" w:firstLine="0"/>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sz w:val="24"/>
          <w:szCs w:val="24"/>
          <w:rtl w:val="0"/>
        </w:rPr>
        <w:t xml:space="preserve">Principal</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author and lead developer for the </w:t>
      </w:r>
      <w:r w:rsidDel="00000000" w:rsidR="00000000" w:rsidRPr="00000000">
        <w:rPr>
          <w:rFonts w:ascii="Source Sans Pro" w:cs="Source Sans Pro" w:eastAsia="Source Sans Pro" w:hAnsi="Source Sans Pro"/>
          <w:b w:val="0"/>
          <w:bCs w:val="0"/>
          <w:i w:val="1"/>
          <w:iCs w:val="1"/>
          <w:smallCaps w:val="0"/>
          <w:strike w:val="0"/>
          <w:color w:val="000000"/>
          <w:sz w:val="24"/>
          <w:szCs w:val="24"/>
          <w:u w:val="none"/>
          <w:shd w:fill="auto" w:val="clear"/>
          <w:vertAlign w:val="baseline"/>
          <w:rtl w:val="0"/>
        </w:rPr>
        <w:t xml:space="preserve">Comprehensive Human Integration Evaluation Framework</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(CHIEF), a novel framework for assessing Human Factors/Ergonomics at the system level; now in use with DHS. </w:t>
        <w:br w:type="textWrapping"/>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Forged a research partnership with NASA Ames/Vertical </w:t>
      </w:r>
      <w:r w:rsidDel="00000000" w:rsidR="00000000" w:rsidRPr="00000000">
        <w:rPr>
          <w:rFonts w:ascii="Source Sans Pro" w:cs="Source Sans Pro" w:eastAsia="Source Sans Pro" w:hAnsi="Source Sans Pro"/>
          <w:sz w:val="24"/>
          <w:szCs w:val="24"/>
          <w:rtl w:val="0"/>
        </w:rPr>
        <w:t xml:space="preserve">Motion</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Simulator to study the limits of human performance aboard boats in heavy weather. Development </w:t>
      </w:r>
      <w:r w:rsidDel="00000000" w:rsidR="00000000" w:rsidRPr="00000000">
        <w:rPr>
          <w:rFonts w:ascii="Source Sans Pro" w:cs="Source Sans Pro" w:eastAsia="Source Sans Pro" w:hAnsi="Source Sans Pro"/>
          <w:sz w:val="24"/>
          <w:szCs w:val="24"/>
          <w:rtl w:val="0"/>
        </w:rPr>
        <w:t xml:space="preserve">of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experimental design, test protocol, safety procedures</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and IRB package for human-in-the-loop experiments using </w:t>
      </w:r>
      <w:r w:rsidDel="00000000" w:rsidR="00000000" w:rsidRPr="00000000">
        <w:rPr>
          <w:rFonts w:ascii="Source Sans Pro" w:cs="Source Sans Pro" w:eastAsia="Source Sans Pro" w:hAnsi="Source Sans Pro"/>
          <w:sz w:val="24"/>
          <w:szCs w:val="24"/>
          <w:rtl w:val="0"/>
        </w:rPr>
        <w:t xml:space="preserve">a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large displacement vertical motion simulator. </w:t>
        <w:br w:type="textWrapping"/>
      </w:r>
    </w:p>
    <w:p w:rsidR="00000000" w:rsidDel="00000000" w:rsidP="00000000" w:rsidRDefault="00000000" w:rsidRPr="00000000" w14:paraId="0000002F">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Graduate Student in Human Systems Integration</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Monterey, CA (July 2009 – June 2012, </w:t>
      </w:r>
      <w:r w:rsidDel="00000000" w:rsidR="00000000" w:rsidRPr="00000000">
        <w:rPr>
          <w:rFonts w:ascii="Source Sans Pro" w:cs="Source Sans Pro" w:eastAsia="Source Sans Pro" w:hAnsi="Source Sans Pro"/>
          <w:color w:val="060f18"/>
          <w:sz w:val="24"/>
          <w:szCs w:val="24"/>
          <w:rtl w:val="0"/>
        </w:rPr>
        <w:t xml:space="preserve">full-time</w:t>
      </w:r>
      <w:r w:rsidDel="00000000" w:rsidR="00000000" w:rsidRPr="00000000">
        <w:rPr>
          <w:rFonts w:ascii="Source Sans Pro" w:cs="Source Sans Pro" w:eastAsia="Source Sans Pro" w:hAnsi="Source Sans Pro"/>
          <w:sz w:val="24"/>
          <w:szCs w:val="24"/>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Thesis: </w:t>
      </w:r>
      <w:hyperlink r:id="rId7">
        <w:r w:rsidDel="00000000" w:rsidR="00000000" w:rsidRPr="00000000">
          <w:rPr>
            <w:rFonts w:ascii="Source Sans Pro" w:cs="Source Sans Pro" w:eastAsia="Source Sans Pro" w:hAnsi="Source Sans Pro"/>
            <w:b w:val="0"/>
            <w:bCs w:val="0"/>
            <w:i w:val="0"/>
            <w:iCs w:val="0"/>
            <w:smallCaps w:val="0"/>
            <w:strike w:val="0"/>
            <w:color w:val="0563c1"/>
            <w:sz w:val="24"/>
            <w:szCs w:val="24"/>
            <w:u w:val="single"/>
            <w:shd w:fill="auto" w:val="clear"/>
            <w:vertAlign w:val="baseline"/>
            <w:rtl w:val="0"/>
          </w:rPr>
          <w:t xml:space="preserve">Development of a Human Systems Integration Framework for Coast Guard Acquisition</w:t>
        </w:r>
      </w:hyperlink>
      <w:r w:rsidDel="00000000" w:rsidR="00000000" w:rsidRPr="00000000">
        <w:rPr>
          <w:rtl w:val="0"/>
        </w:rPr>
      </w:r>
    </w:p>
    <w:p w:rsidR="00000000" w:rsidDel="00000000" w:rsidP="00000000" w:rsidRDefault="00000000" w:rsidRPr="00000000" w14:paraId="00000032">
      <w:pPr>
        <w:spacing w:line="276"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33">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Executive Officer, Maritime Security Team (91109)  &amp; Regional Dive Locker West</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San Diego, CA</w:t>
        <w:br w:type="textWrapping"/>
        <w:t xml:space="preserve">( July 2009 – June 2012, </w:t>
      </w:r>
      <w:r w:rsidDel="00000000" w:rsidR="00000000" w:rsidRPr="00000000">
        <w:rPr>
          <w:rFonts w:ascii="Source Sans Pro" w:cs="Source Sans Pro" w:eastAsia="Source Sans Pro" w:hAnsi="Source Sans Pro"/>
          <w:color w:val="060f18"/>
          <w:sz w:val="24"/>
          <w:szCs w:val="24"/>
          <w:rtl w:val="0"/>
        </w:rPr>
        <w:t xml:space="preserve">full-time</w:t>
      </w:r>
      <w:r w:rsidDel="00000000" w:rsidR="00000000" w:rsidRPr="00000000">
        <w:rPr>
          <w:rFonts w:ascii="Source Sans Pro" w:cs="Source Sans Pro" w:eastAsia="Source Sans Pro" w:hAnsi="Source Sans Pro"/>
          <w:sz w:val="24"/>
          <w:szCs w:val="24"/>
          <w:rtl w:val="0"/>
        </w:rPr>
        <w:t xml:space="preserve">)</w:t>
        <w:br w:type="textWrapping"/>
      </w:r>
    </w:p>
    <w:p w:rsidR="00000000" w:rsidDel="00000000" w:rsidP="00000000" w:rsidRDefault="00000000" w:rsidRPr="00000000" w14:paraId="000000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Led 106-person worldwide deployable unit during 45 deployments for maritime anti-piracy, drug interdiction, maritime asset protection</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and underwater inspection.</w:t>
        <w:br w:type="textWrapping"/>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Oversaw 10,000 hours of high-risk operations and training</w:t>
      </w:r>
      <w:r w:rsidDel="00000000" w:rsidR="00000000" w:rsidRPr="00000000">
        <w:rPr>
          <w:rFonts w:ascii="Source Sans Pro" w:cs="Source Sans Pro" w:eastAsia="Source Sans Pro" w:hAnsi="Source Sans Pro"/>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resulting </w:t>
      </w:r>
      <w:r w:rsidDel="00000000" w:rsidR="00000000" w:rsidRPr="00000000">
        <w:rPr>
          <w:rFonts w:ascii="Source Sans Pro" w:cs="Source Sans Pro" w:eastAsia="Source Sans Pro" w:hAnsi="Source Sans Pro"/>
          <w:sz w:val="24"/>
          <w:szCs w:val="24"/>
          <w:rtl w:val="0"/>
        </w:rPr>
        <w:t xml:space="preserve">in the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interdiction of 18 Somali pirates, 48 illegal migrants, and 4,000lbs of cocaine; unit ranked within </w:t>
      </w:r>
      <w:r w:rsidDel="00000000" w:rsidR="00000000" w:rsidRPr="00000000">
        <w:rPr>
          <w:rFonts w:ascii="Source Sans Pro" w:cs="Source Sans Pro" w:eastAsia="Source Sans Pro" w:hAnsi="Source Sans Pro"/>
          <w:sz w:val="24"/>
          <w:szCs w:val="24"/>
          <w:rtl w:val="0"/>
        </w:rPr>
        <w:t xml:space="preserve">the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top 10% nationwide for Operational Readiness</w:t>
        <w:br w:type="textWrapping"/>
      </w:r>
    </w:p>
    <w:p w:rsidR="00000000" w:rsidDel="00000000" w:rsidP="00000000" w:rsidRDefault="00000000" w:rsidRPr="00000000" w14:paraId="00000036">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Technology Analyst/Project Manager</w:t>
      </w:r>
      <w:r w:rsidDel="00000000" w:rsidR="00000000" w:rsidRPr="00000000">
        <w:rPr>
          <w:rFonts w:ascii="Source Sans Pro" w:cs="Source Sans Pro" w:eastAsia="Source Sans Pro" w:hAnsi="Source Sans Pro"/>
          <w:sz w:val="24"/>
          <w:szCs w:val="24"/>
          <w:rtl w:val="0"/>
        </w:rPr>
        <w:t xml:space="preserve">, USCG Research &amp; Development Center</w:t>
        <w:br w:type="textWrapping"/>
        <w:t xml:space="preserve"> (July 2006 – June 2009, full-time)</w:t>
        <w:br w:type="textWrapping"/>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Evaluated emerging technologies for non-compliant vessel stopping, improvised explosive detection, ballistic protection, less-lethal munitions, shipboard wireless network communication, </w:t>
      </w:r>
      <w:r w:rsidDel="00000000" w:rsidR="00000000" w:rsidRPr="00000000">
        <w:rPr>
          <w:rFonts w:ascii="Source Sans Pro" w:cs="Source Sans Pro" w:eastAsia="Source Sans Pro" w:hAnsi="Source Sans Pro"/>
          <w:sz w:val="24"/>
          <w:szCs w:val="24"/>
          <w:rtl w:val="0"/>
        </w:rPr>
        <w:t xml:space="preserve">and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CBRNE decontamination.</w:t>
        <w:br w:type="textWrapping"/>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Developed and independently managed a nationwide assessment of USCG critical asset protection capability </w:t>
      </w:r>
      <w:r w:rsidDel="00000000" w:rsidR="00000000" w:rsidRPr="00000000">
        <w:rPr>
          <w:rFonts w:ascii="Source Sans Pro" w:cs="Source Sans Pro" w:eastAsia="Source Sans Pro" w:hAnsi="Source Sans Pro"/>
          <w:sz w:val="24"/>
          <w:szCs w:val="24"/>
          <w:rtl w:val="0"/>
        </w:rPr>
        <w:t xml:space="preserve">post-9/11</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 including time-motion studies and live-fire testing. Distilled technology insertion opportunities and potential policy changes to address capability deficiencies in each mission phase (first exposure to the Human Factors).</w:t>
      </w:r>
    </w:p>
    <w:p w:rsidR="00000000" w:rsidDel="00000000" w:rsidP="00000000" w:rsidRDefault="00000000" w:rsidRPr="00000000" w14:paraId="00000039">
      <w:pPr>
        <w:spacing w:line="276"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3A">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Operations Officer, Maritime Security Team 91110</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Boston, MA</w:t>
      </w:r>
    </w:p>
    <w:p w:rsidR="00000000" w:rsidDel="00000000" w:rsidP="00000000" w:rsidRDefault="00000000" w:rsidRPr="00000000" w14:paraId="0000003B">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 (July 2003 – June 2006, </w:t>
      </w:r>
      <w:r w:rsidDel="00000000" w:rsidR="00000000" w:rsidRPr="00000000">
        <w:rPr>
          <w:rFonts w:ascii="Source Sans Pro" w:cs="Source Sans Pro" w:eastAsia="Source Sans Pro" w:hAnsi="Source Sans Pro"/>
          <w:color w:val="060f18"/>
          <w:sz w:val="24"/>
          <w:szCs w:val="24"/>
          <w:rtl w:val="0"/>
        </w:rPr>
        <w:t xml:space="preserve">full-time 40 hours per week</w:t>
      </w:r>
      <w:r w:rsidDel="00000000" w:rsidR="00000000" w:rsidRPr="00000000">
        <w:rPr>
          <w:rFonts w:ascii="Source Sans Pro" w:cs="Source Sans Pro" w:eastAsia="Source Sans Pro" w:hAnsi="Source Sans Pro"/>
          <w:sz w:val="24"/>
          <w:szCs w:val="24"/>
          <w:rtl w:val="0"/>
        </w:rPr>
        <w:t xml:space="preserve">)</w:t>
        <w:br w:type="textWrapping"/>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Led 64-person department in delivery of maritime anti-piracy, drug interdiction, </w:t>
      </w:r>
      <w:r w:rsidDel="00000000" w:rsidR="00000000" w:rsidRPr="00000000">
        <w:rPr>
          <w:rFonts w:ascii="Source Sans Pro" w:cs="Source Sans Pro" w:eastAsia="Source Sans Pro" w:hAnsi="Source Sans Pro"/>
          <w:sz w:val="24"/>
          <w:szCs w:val="24"/>
          <w:rtl w:val="0"/>
        </w:rPr>
        <w:t xml:space="preserve">and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critical asset protection during 15 deployments. Unit ranked in </w:t>
      </w:r>
      <w:r w:rsidDel="00000000" w:rsidR="00000000" w:rsidRPr="00000000">
        <w:rPr>
          <w:rFonts w:ascii="Source Sans Pro" w:cs="Source Sans Pro" w:eastAsia="Source Sans Pro" w:hAnsi="Source Sans Pro"/>
          <w:sz w:val="24"/>
          <w:szCs w:val="24"/>
          <w:rtl w:val="0"/>
        </w:rPr>
        <w:t xml:space="preserve">the </w:t>
      </w: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top 10% nationwide for operational readiness.</w:t>
        <w:br w:type="textWrapping"/>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4"/>
          <w:szCs w:val="24"/>
          <w:u w:val="none"/>
          <w:shd w:fill="auto" w:val="clear"/>
          <w:vertAlign w:val="baseline"/>
          <w:rtl w:val="0"/>
        </w:rPr>
        <w:t xml:space="preserve">Commanded 55-person maritime security detachment to JTF-GTMO (180-day deployment); supervised maritime forces in 15 detainee movements, 12 live-fire exercises with Marine/Army/Navy counterparts.</w:t>
        <w:br w:type="textWrapping"/>
      </w:r>
    </w:p>
    <w:p w:rsidR="00000000" w:rsidDel="00000000" w:rsidP="00000000" w:rsidRDefault="00000000" w:rsidRPr="00000000" w14:paraId="0000003E">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Officer-in-Charge, Law Enforcement Detachment 409</w:t>
      </w:r>
      <w:r w:rsidDel="00000000" w:rsidR="00000000" w:rsidRPr="00000000">
        <w:rPr>
          <w:rFonts w:ascii="Source Sans Pro" w:cs="Source Sans Pro" w:eastAsia="Source Sans Pro" w:hAnsi="Source Sans Pro"/>
          <w:sz w:val="24"/>
          <w:szCs w:val="24"/>
          <w:rtl w:val="0"/>
        </w:rPr>
        <w:t xml:space="preserve">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Miami, FL</w:t>
        <w:br w:type="textWrapping"/>
        <w:t xml:space="preserve"> (July 2001 – June 2003, </w:t>
      </w:r>
      <w:r w:rsidDel="00000000" w:rsidR="00000000" w:rsidRPr="00000000">
        <w:rPr>
          <w:rFonts w:ascii="Source Sans Pro" w:cs="Source Sans Pro" w:eastAsia="Source Sans Pro" w:hAnsi="Source Sans Pro"/>
          <w:color w:val="060f18"/>
          <w:sz w:val="24"/>
          <w:szCs w:val="24"/>
          <w:rtl w:val="0"/>
        </w:rPr>
        <w:t xml:space="preserve">full-time 40 hours per week</w:t>
      </w:r>
      <w:r w:rsidDel="00000000" w:rsidR="00000000" w:rsidRPr="00000000">
        <w:rPr>
          <w:rFonts w:ascii="Source Sans Pro" w:cs="Source Sans Pro" w:eastAsia="Source Sans Pro" w:hAnsi="Source Sans Pro"/>
          <w:sz w:val="24"/>
          <w:szCs w:val="24"/>
          <w:rtl w:val="0"/>
        </w:rPr>
        <w:t xml:space="preserve">)</w:t>
        <w:br w:type="textWrapping"/>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Led 10-person tactical board team during 13 deployments to the Caribbean, Eastern Pacific</w:t>
      </w:r>
      <w:r w:rsidDel="00000000" w:rsidR="00000000" w:rsidRPr="00000000">
        <w:rPr>
          <w:rFonts w:ascii="Source Sans Pro" w:cs="Source Sans Pro" w:eastAsia="Source Sans Pro" w:hAnsi="Source Sans Pro"/>
          <w:color w:val="060f18"/>
          <w:sz w:val="24"/>
          <w:szCs w:val="24"/>
          <w:rtl w:val="0"/>
        </w:rPr>
        <w:t xml:space="preserve">,</w:t>
      </w: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 and Arabian Gulf. Interdicted 4,000lbs of pure cocaine, 2,350 tons of illicit oil &amp; 157 undocumented migrants.</w:t>
      </w:r>
      <w:r w:rsidDel="00000000" w:rsidR="00000000" w:rsidRPr="00000000">
        <w:rPr>
          <w:rFonts w:ascii="Source Sans Pro" w:cs="Source Sans Pro" w:eastAsia="Source Sans Pro" w:hAnsi="Source Sans Pro"/>
          <w:b w:val="0"/>
          <w:bCs w:val="0"/>
          <w:i w:val="0"/>
          <w:iCs w:val="0"/>
          <w:smallCaps w:val="0"/>
          <w:strike w:val="0"/>
          <w:color w:val="ff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0">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Deck Watch Officer &amp; Operations Center Supervisor</w:t>
      </w:r>
      <w:r w:rsidDel="00000000" w:rsidR="00000000" w:rsidRPr="00000000">
        <w:rPr>
          <w:rFonts w:ascii="Source Sans Pro" w:cs="Source Sans Pro" w:eastAsia="Source Sans Pro" w:hAnsi="Source Sans Pro"/>
          <w:sz w:val="24"/>
          <w:szCs w:val="24"/>
          <w:rtl w:val="0"/>
        </w:rPr>
        <w:t xml:space="preserve">, Cutter CAMPBELL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New Bedford, MA </w:t>
        <w:br w:type="textWrapping"/>
        <w:t xml:space="preserve">( July 1999 – June 2001, </w:t>
      </w:r>
      <w:r w:rsidDel="00000000" w:rsidR="00000000" w:rsidRPr="00000000">
        <w:rPr>
          <w:rFonts w:ascii="Source Sans Pro" w:cs="Source Sans Pro" w:eastAsia="Source Sans Pro" w:hAnsi="Source Sans Pro"/>
          <w:color w:val="060f18"/>
          <w:sz w:val="24"/>
          <w:szCs w:val="24"/>
          <w:rtl w:val="0"/>
        </w:rPr>
        <w:t xml:space="preserve">full-time 40 hours per week</w:t>
      </w:r>
      <w:r w:rsidDel="00000000" w:rsidR="00000000" w:rsidRPr="00000000">
        <w:rPr>
          <w:rFonts w:ascii="Source Sans Pro" w:cs="Source Sans Pro" w:eastAsia="Source Sans Pro" w:hAnsi="Source Sans Pro"/>
          <w:sz w:val="24"/>
          <w:szCs w:val="24"/>
          <w:rtl w:val="0"/>
        </w:rPr>
        <w:t xml:space="preserve">)</w:t>
        <w:br w:type="textWrapping"/>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Source Sans Pro" w:cs="Source Sans Pro" w:eastAsia="Source Sans Pro" w:hAnsi="Source Sans Pro"/>
          <w:b w:val="0"/>
          <w:bCs w:val="0"/>
          <w:i w:val="0"/>
          <w:iCs w:val="0"/>
          <w:smallCaps w:val="0"/>
          <w:strike w:val="0"/>
          <w:color w:val="060f18"/>
          <w:sz w:val="24"/>
          <w:szCs w:val="24"/>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60f18"/>
          <w:sz w:val="24"/>
          <w:szCs w:val="24"/>
          <w:u w:val="none"/>
          <w:shd w:fill="auto" w:val="clear"/>
          <w:vertAlign w:val="baseline"/>
          <w:rtl w:val="0"/>
        </w:rPr>
        <w:t xml:space="preserve">Led 12-person watch section in conduct of underway evolutions and safe pilotage of 270-foot Coast Guard cutter during worldwide deployments.</w:t>
      </w:r>
    </w:p>
    <w:p w:rsidR="00000000" w:rsidDel="00000000" w:rsidP="00000000" w:rsidRDefault="00000000" w:rsidRPr="00000000" w14:paraId="00000042">
      <w:pPr>
        <w:spacing w:line="276"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43">
      <w:pPr>
        <w:spacing w:line="276" w:lineRule="auto"/>
        <w:rPr>
          <w:rFonts w:ascii="Source Sans Pro" w:cs="Source Sans Pro" w:eastAsia="Source Sans Pro" w:hAnsi="Source Sans Pro"/>
          <w:b w:val="1"/>
          <w:bCs w:val="1"/>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Professional Certifications</w:t>
        <w:br w:type="textWrapping"/>
      </w:r>
    </w:p>
    <w:p w:rsidR="00000000" w:rsidDel="00000000" w:rsidP="00000000" w:rsidRDefault="00000000" w:rsidRPr="00000000" w14:paraId="00000044">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rtl w:val="0"/>
        </w:rPr>
        <w:t xml:space="preserve">Certified Human Factors Professional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Board for Certification in Professional Ergonomics (2018)</w:t>
      </w:r>
    </w:p>
    <w:p w:rsidR="00000000" w:rsidDel="00000000" w:rsidP="00000000" w:rsidRDefault="00000000" w:rsidRPr="00000000" w14:paraId="00000045">
      <w:pPr>
        <w:spacing w:line="276" w:lineRule="auto"/>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color w:val="060f18"/>
          <w:sz w:val="24"/>
          <w:szCs w:val="24"/>
          <w:rtl w:val="0"/>
        </w:rPr>
        <w:t xml:space="preserve">User Experience Certified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color w:val="060f18"/>
          <w:sz w:val="24"/>
          <w:szCs w:val="24"/>
          <w:rtl w:val="0"/>
        </w:rPr>
        <w:t xml:space="preserve"> Nielsen Norman Group (2016)</w:t>
        <w:br w:type="textWrapping"/>
      </w:r>
      <w:r w:rsidDel="00000000" w:rsidR="00000000" w:rsidRPr="00000000">
        <w:rPr>
          <w:rtl w:val="0"/>
        </w:rPr>
      </w:r>
    </w:p>
    <w:p w:rsidR="00000000" w:rsidDel="00000000" w:rsidP="00000000" w:rsidRDefault="00000000" w:rsidRPr="00000000" w14:paraId="00000046">
      <w:pPr>
        <w:spacing w:line="276" w:lineRule="auto"/>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tl w:val="0"/>
        </w:rPr>
        <w:t xml:space="preserve">Education</w:t>
        <w:br w:type="textWrapping"/>
      </w:r>
    </w:p>
    <w:p w:rsidR="00000000" w:rsidDel="00000000" w:rsidP="00000000" w:rsidRDefault="00000000" w:rsidRPr="00000000" w14:paraId="00000047">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Master of Science in Human Systems Integration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Naval Postgraduate School (2014)</w:t>
      </w:r>
    </w:p>
    <w:p w:rsidR="00000000" w:rsidDel="00000000" w:rsidP="00000000" w:rsidRDefault="00000000" w:rsidRPr="00000000" w14:paraId="00000048">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Certificate in Systems Engineering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Naval Postgraduate School (2013)</w:t>
      </w:r>
    </w:p>
    <w:p w:rsidR="00000000" w:rsidDel="00000000" w:rsidP="00000000" w:rsidRDefault="00000000" w:rsidRPr="00000000" w14:paraId="00000049">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Bachelor of Science in Government/International Relations </w:t>
      </w:r>
      <w:r w:rsidDel="00000000" w:rsidR="00000000" w:rsidRPr="00000000">
        <w:rPr>
          <w:rFonts w:ascii="Noto Sans Symbols" w:cs="Noto Sans Symbols" w:eastAsia="Noto Sans Symbols" w:hAnsi="Noto Sans Symbols"/>
          <w:color w:val="060f18"/>
          <w:sz w:val="24"/>
          <w:szCs w:val="24"/>
          <w:rtl w:val="0"/>
        </w:rPr>
        <w:t xml:space="preserve">•</w:t>
      </w:r>
      <w:r w:rsidDel="00000000" w:rsidR="00000000" w:rsidRPr="00000000">
        <w:rPr>
          <w:rFonts w:ascii="Source Sans Pro" w:cs="Source Sans Pro" w:eastAsia="Source Sans Pro" w:hAnsi="Source Sans Pro"/>
          <w:sz w:val="24"/>
          <w:szCs w:val="24"/>
          <w:rtl w:val="0"/>
        </w:rPr>
        <w:t xml:space="preserve"> U.S. Coast Guard Academy (1999)</w:t>
      </w:r>
    </w:p>
    <w:p w:rsidR="00000000" w:rsidDel="00000000" w:rsidP="00000000" w:rsidRDefault="00000000" w:rsidRPr="00000000" w14:paraId="0000004A">
      <w:pPr>
        <w:spacing w:line="276" w:lineRule="auto"/>
        <w:rPr>
          <w:rFonts w:ascii="Source Sans Pro" w:cs="Source Sans Pro" w:eastAsia="Source Sans Pro" w:hAnsi="Source Sans Pro"/>
          <w:b w:val="1"/>
          <w:bCs w:val="1"/>
          <w:color w:val="060f18"/>
          <w:sz w:val="24"/>
          <w:szCs w:val="24"/>
        </w:rPr>
      </w:pPr>
      <w:r w:rsidDel="00000000" w:rsidR="00000000" w:rsidRPr="00000000">
        <w:rPr>
          <w:rtl w:val="0"/>
        </w:rPr>
      </w:r>
    </w:p>
    <w:p w:rsidR="00000000" w:rsidDel="00000000" w:rsidP="00000000" w:rsidRDefault="00000000" w:rsidRPr="00000000" w14:paraId="0000004B">
      <w:pPr>
        <w:spacing w:line="276" w:lineRule="auto"/>
        <w:rPr>
          <w:rFonts w:ascii="Source Sans Pro" w:cs="Source Sans Pro" w:eastAsia="Source Sans Pro" w:hAnsi="Source Sans Pro"/>
          <w:b w:val="1"/>
          <w:bCs w:val="1"/>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Specific Skills</w:t>
      </w:r>
    </w:p>
    <w:p w:rsidR="00000000" w:rsidDel="00000000" w:rsidP="00000000" w:rsidRDefault="00000000" w:rsidRPr="00000000" w14:paraId="0000004C">
      <w:pPr>
        <w:spacing w:line="276" w:lineRule="auto"/>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4D">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rtl w:val="0"/>
        </w:rPr>
        <w:t xml:space="preserve">Concept Mapping/Mind Mapping |  Affinity Diagramming | Card Sorting | Walk-Through, Talk Through</w:t>
      </w:r>
    </w:p>
    <w:p w:rsidR="00000000" w:rsidDel="00000000" w:rsidP="00000000" w:rsidRDefault="00000000" w:rsidRPr="00000000" w14:paraId="0000004E">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rtl w:val="0"/>
        </w:rPr>
        <w:t xml:space="preserve">Crowd Sourcing | Participatory Design | Interviews &amp; Focus Groups | User Testing | User Surveys | Mockups | Prototyping | Wireframing | User-centered Requirements Development | Benchmarking | In-service Assessment | Task Decomposition &amp; Task Modeling | Ergonomic &amp; Anthropometric Assessment | Human Performance Risk Assessments</w:t>
      </w:r>
    </w:p>
    <w:p w:rsidR="00000000" w:rsidDel="00000000" w:rsidP="00000000" w:rsidRDefault="00000000" w:rsidRPr="00000000" w14:paraId="0000004F">
      <w:pPr>
        <w:spacing w:line="276" w:lineRule="auto"/>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50">
      <w:pPr>
        <w:spacing w:line="276" w:lineRule="auto"/>
        <w:rPr>
          <w:rFonts w:ascii="Source Sans Pro" w:cs="Source Sans Pro" w:eastAsia="Source Sans Pro" w:hAnsi="Source Sans Pro"/>
          <w:b w:val="1"/>
          <w:bCs w:val="1"/>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Software Fluency</w:t>
      </w:r>
    </w:p>
    <w:p w:rsidR="00000000" w:rsidDel="00000000" w:rsidP="00000000" w:rsidRDefault="00000000" w:rsidRPr="00000000" w14:paraId="00000051">
      <w:pPr>
        <w:spacing w:line="276" w:lineRule="auto"/>
        <w:rPr>
          <w:rFonts w:ascii="Source Sans Pro" w:cs="Source Sans Pro" w:eastAsia="Source Sans Pro" w:hAnsi="Source Sans Pro"/>
          <w:b w:val="1"/>
          <w:bCs w:val="1"/>
          <w:color w:val="060f18"/>
          <w:sz w:val="24"/>
          <w:szCs w:val="24"/>
        </w:rPr>
      </w:pPr>
      <w:r w:rsidDel="00000000" w:rsidR="00000000" w:rsidRPr="00000000">
        <w:rPr>
          <w:rtl w:val="0"/>
        </w:rPr>
      </w:r>
    </w:p>
    <w:p w:rsidR="00000000" w:rsidDel="00000000" w:rsidP="00000000" w:rsidRDefault="00000000" w:rsidRPr="00000000" w14:paraId="00000052">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060f18"/>
          <w:sz w:val="24"/>
          <w:szCs w:val="24"/>
          <w:rtl w:val="0"/>
        </w:rPr>
        <w:t xml:space="preserve">MS Office Suite, Google Suite, Zoom/Teams, Notion, Prezi, Canva, Lucidchart, Vizio, Miro, Figma, Photoshop, Lightroom.</w:t>
      </w:r>
      <w:r w:rsidDel="00000000" w:rsidR="00000000" w:rsidRPr="00000000">
        <w:rPr>
          <w:rFonts w:ascii="Source Sans Pro" w:cs="Source Sans Pro" w:eastAsia="Source Sans Pro" w:hAnsi="Source Sans Pro"/>
          <w:b w:val="1"/>
          <w:bCs w:val="1"/>
          <w:color w:val="060f18"/>
          <w:sz w:val="24"/>
          <w:szCs w:val="24"/>
          <w:rtl w:val="0"/>
        </w:rPr>
        <w:br w:type="textWrapping"/>
      </w:r>
      <w:r w:rsidDel="00000000" w:rsidR="00000000" w:rsidRPr="00000000">
        <w:rPr>
          <w:rtl w:val="0"/>
        </w:rPr>
      </w:r>
    </w:p>
    <w:p w:rsidR="00000000" w:rsidDel="00000000" w:rsidP="00000000" w:rsidRDefault="00000000" w:rsidRPr="00000000" w14:paraId="00000053">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Panels &amp; Symposia</w:t>
        <w:br w:type="textWrapping"/>
      </w:r>
      <w:r w:rsidDel="00000000" w:rsidR="00000000" w:rsidRPr="00000000">
        <w:rPr>
          <w:rtl w:val="0"/>
        </w:rPr>
      </w:r>
    </w:p>
    <w:p w:rsidR="00000000" w:rsidDel="00000000" w:rsidP="00000000" w:rsidRDefault="00000000" w:rsidRPr="00000000" w14:paraId="00000054">
      <w:pPr>
        <w:numPr>
          <w:ilvl w:val="0"/>
          <w:numId w:val="7"/>
        </w:numPr>
        <w:spacing w:line="276" w:lineRule="auto"/>
        <w:ind w:left="720" w:hanging="360"/>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i w:val="1"/>
          <w:iCs w:val="1"/>
          <w:sz w:val="24"/>
          <w:szCs w:val="24"/>
          <w:rtl w:val="0"/>
        </w:rPr>
        <w:t xml:space="preserve">Lessons Learned in Industry and Government</w:t>
      </w:r>
      <w:r w:rsidDel="00000000" w:rsidR="00000000" w:rsidRPr="00000000">
        <w:rPr>
          <w:rFonts w:ascii="Source Sans Pro" w:cs="Source Sans Pro" w:eastAsia="Source Sans Pro" w:hAnsi="Source Sans Pro"/>
          <w:sz w:val="24"/>
          <w:szCs w:val="24"/>
          <w:rtl w:val="0"/>
        </w:rPr>
        <w:t xml:space="preserve">. Human Factors &amp; Ergonomics Society Annual Conference 2017</w:t>
      </w:r>
    </w:p>
    <w:p w:rsidR="00000000" w:rsidDel="00000000" w:rsidP="00000000" w:rsidRDefault="00000000" w:rsidRPr="00000000" w14:paraId="00000055">
      <w:pPr>
        <w:numPr>
          <w:ilvl w:val="0"/>
          <w:numId w:val="7"/>
        </w:numPr>
        <w:spacing w:line="276" w:lineRule="auto"/>
        <w:ind w:left="720" w:hanging="360"/>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i w:val="1"/>
          <w:iCs w:val="1"/>
          <w:sz w:val="24"/>
          <w:szCs w:val="24"/>
          <w:rtl w:val="0"/>
        </w:rPr>
        <w:t xml:space="preserve">A Framework for Assessing and Communicating HSI Efficacy</w:t>
      </w:r>
      <w:r w:rsidDel="00000000" w:rsidR="00000000" w:rsidRPr="00000000">
        <w:rPr>
          <w:rFonts w:ascii="Source Sans Pro" w:cs="Source Sans Pro" w:eastAsia="Source Sans Pro" w:hAnsi="Source Sans Pro"/>
          <w:sz w:val="24"/>
          <w:szCs w:val="24"/>
          <w:rtl w:val="0"/>
        </w:rPr>
        <w:t xml:space="preserve">. Applied Human Factors &amp; Ergonomics 2016</w:t>
      </w:r>
    </w:p>
    <w:p w:rsidR="00000000" w:rsidDel="00000000" w:rsidP="00000000" w:rsidRDefault="00000000" w:rsidRPr="00000000" w14:paraId="00000056">
      <w:pPr>
        <w:numPr>
          <w:ilvl w:val="0"/>
          <w:numId w:val="7"/>
        </w:numPr>
        <w:spacing w:line="276" w:lineRule="auto"/>
        <w:ind w:left="720" w:hanging="360"/>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i w:val="1"/>
          <w:iCs w:val="1"/>
          <w:sz w:val="24"/>
          <w:szCs w:val="24"/>
          <w:rtl w:val="0"/>
        </w:rPr>
        <w:t xml:space="preserve">HSI Metrics: Toward a Framework for Assessing Human Systems Integration Efficacy</w:t>
      </w:r>
      <w:r w:rsidDel="00000000" w:rsidR="00000000" w:rsidRPr="00000000">
        <w:rPr>
          <w:rFonts w:ascii="Source Sans Pro" w:cs="Source Sans Pro" w:eastAsia="Source Sans Pro" w:hAnsi="Source Sans Pro"/>
          <w:sz w:val="24"/>
          <w:szCs w:val="24"/>
          <w:rtl w:val="0"/>
        </w:rPr>
        <w:t xml:space="preserve">. NDIA Human Systems 2016</w:t>
      </w:r>
    </w:p>
    <w:p w:rsidR="00000000" w:rsidDel="00000000" w:rsidP="00000000" w:rsidRDefault="00000000" w:rsidRPr="00000000" w14:paraId="00000057">
      <w:pPr>
        <w:numPr>
          <w:ilvl w:val="0"/>
          <w:numId w:val="7"/>
        </w:numPr>
        <w:spacing w:line="276" w:lineRule="auto"/>
        <w:ind w:left="720" w:hanging="360"/>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i w:val="1"/>
          <w:iCs w:val="1"/>
          <w:sz w:val="24"/>
          <w:szCs w:val="24"/>
          <w:rtl w:val="0"/>
        </w:rPr>
        <w:t xml:space="preserve">Coast Guard Human Systems Integration Topics of Interest</w:t>
      </w:r>
      <w:r w:rsidDel="00000000" w:rsidR="00000000" w:rsidRPr="00000000">
        <w:rPr>
          <w:rFonts w:ascii="Source Sans Pro" w:cs="Source Sans Pro" w:eastAsia="Source Sans Pro" w:hAnsi="Source Sans Pro"/>
          <w:sz w:val="24"/>
          <w:szCs w:val="24"/>
          <w:rtl w:val="0"/>
        </w:rPr>
        <w:t xml:space="preserve">. National Academy of Sciences Board on HSI 2015</w:t>
      </w:r>
    </w:p>
    <w:p w:rsidR="00000000" w:rsidDel="00000000" w:rsidP="00000000" w:rsidRDefault="00000000" w:rsidRPr="00000000" w14:paraId="00000058">
      <w:pPr>
        <w:numPr>
          <w:ilvl w:val="0"/>
          <w:numId w:val="7"/>
        </w:numPr>
        <w:spacing w:line="276" w:lineRule="auto"/>
        <w:ind w:left="720" w:hanging="360"/>
        <w:rPr>
          <w:rFonts w:ascii="Source Sans Pro" w:cs="Source Sans Pro" w:eastAsia="Source Sans Pro" w:hAnsi="Source Sans Pro"/>
          <w:sz w:val="24"/>
          <w:szCs w:val="24"/>
          <w:u w:val="none"/>
        </w:rPr>
      </w:pPr>
      <w:r w:rsidDel="00000000" w:rsidR="00000000" w:rsidRPr="00000000">
        <w:rPr>
          <w:rFonts w:ascii="Source Sans Pro" w:cs="Source Sans Pro" w:eastAsia="Source Sans Pro" w:hAnsi="Source Sans Pro"/>
          <w:i w:val="1"/>
          <w:iCs w:val="1"/>
          <w:sz w:val="24"/>
          <w:szCs w:val="24"/>
          <w:rtl w:val="0"/>
        </w:rPr>
        <w:t xml:space="preserve">Human Readiness Levels in DoD Acquisition</w:t>
      </w:r>
      <w:r w:rsidDel="00000000" w:rsidR="00000000" w:rsidRPr="00000000">
        <w:rPr>
          <w:rFonts w:ascii="Source Sans Pro" w:cs="Source Sans Pro" w:eastAsia="Source Sans Pro" w:hAnsi="Source Sans Pro"/>
          <w:sz w:val="24"/>
          <w:szCs w:val="24"/>
          <w:rtl w:val="0"/>
        </w:rPr>
        <w:t xml:space="preserve">. 18th Annual NDIA Systems Engineering Conference 2015</w:t>
      </w:r>
    </w:p>
    <w:p w:rsidR="00000000" w:rsidDel="00000000" w:rsidP="00000000" w:rsidRDefault="00000000" w:rsidRPr="00000000" w14:paraId="00000059">
      <w:pPr>
        <w:spacing w:line="276" w:lineRule="auto"/>
        <w:rPr>
          <w:rFonts w:ascii="Source Sans Pro" w:cs="Source Sans Pro" w:eastAsia="Source Sans Pro" w:hAnsi="Source Sans Pro"/>
          <w:color w:val="060f18"/>
          <w:sz w:val="24"/>
          <w:szCs w:val="24"/>
        </w:rPr>
      </w:pPr>
      <w:r w:rsidDel="00000000" w:rsidR="00000000" w:rsidRPr="00000000">
        <w:rPr>
          <w:rtl w:val="0"/>
        </w:rPr>
      </w:r>
    </w:p>
    <w:p w:rsidR="00000000" w:rsidDel="00000000" w:rsidP="00000000" w:rsidRDefault="00000000" w:rsidRPr="00000000" w14:paraId="0000005A">
      <w:pPr>
        <w:spacing w:line="276" w:lineRule="auto"/>
        <w:rPr>
          <w:rFonts w:ascii="Source Sans Pro" w:cs="Source Sans Pro" w:eastAsia="Source Sans Pro" w:hAnsi="Source Sans Pro"/>
          <w:b w:val="1"/>
          <w:bCs w:val="1"/>
          <w:color w:val="060f18"/>
          <w:sz w:val="24"/>
          <w:szCs w:val="24"/>
        </w:rPr>
      </w:pPr>
      <w:r w:rsidDel="00000000" w:rsidR="00000000" w:rsidRPr="00000000">
        <w:rPr>
          <w:rFonts w:ascii="Source Sans Pro" w:cs="Source Sans Pro" w:eastAsia="Source Sans Pro" w:hAnsi="Source Sans Pro"/>
          <w:b w:val="1"/>
          <w:bCs w:val="1"/>
          <w:color w:val="060f18"/>
          <w:sz w:val="24"/>
          <w:szCs w:val="24"/>
          <w:rtl w:val="0"/>
        </w:rPr>
        <w:t xml:space="preserve">Publications</w:t>
        <w:br w:type="textWrapping"/>
        <w:br w:type="textWrapping"/>
      </w:r>
      <w:r w:rsidDel="00000000" w:rsidR="00000000" w:rsidRPr="00000000">
        <w:rPr>
          <w:rFonts w:ascii="Source Sans Pro" w:cs="Source Sans Pro" w:eastAsia="Source Sans Pro" w:hAnsi="Source Sans Pro"/>
          <w:color w:val="060f18"/>
          <w:sz w:val="24"/>
          <w:szCs w:val="24"/>
          <w:rtl w:val="0"/>
        </w:rPr>
        <w:t xml:space="preserve">Fuller, H., Arnold, T., Neil, M. O., &amp; Wilson, D. (2023). Activities to promote resilience during health information system transitions. Healthcare and Medical Devices, 79(79).</w:t>
      </w:r>
      <w:r w:rsidDel="00000000" w:rsidR="00000000" w:rsidRPr="00000000">
        <w:rPr>
          <w:rFonts w:ascii="Source Sans Pro" w:cs="Source Sans Pro" w:eastAsia="Source Sans Pro" w:hAnsi="Source Sans Pro"/>
          <w:b w:val="1"/>
          <w:bCs w:val="1"/>
          <w:color w:val="060f18"/>
          <w:sz w:val="24"/>
          <w:szCs w:val="24"/>
          <w:rtl w:val="0"/>
        </w:rPr>
        <w:br w:type="textWrapping"/>
      </w:r>
    </w:p>
    <w:p w:rsidR="00000000" w:rsidDel="00000000" w:rsidP="00000000" w:rsidRDefault="00000000" w:rsidRPr="00000000" w14:paraId="0000005B">
      <w:pPr>
        <w:spacing w:line="276" w:lineRule="auto"/>
        <w:rPr>
          <w:rFonts w:ascii="Source Sans Pro" w:cs="Source Sans Pro" w:eastAsia="Source Sans Pro" w:hAnsi="Source Sans Pro"/>
          <w:color w:val="060f18"/>
          <w:sz w:val="24"/>
          <w:szCs w:val="24"/>
        </w:rPr>
      </w:pPr>
      <w:r w:rsidDel="00000000" w:rsidR="00000000" w:rsidRPr="00000000">
        <w:rPr>
          <w:rFonts w:ascii="Source Sans Pro" w:cs="Source Sans Pro" w:eastAsia="Source Sans Pro" w:hAnsi="Source Sans Pro"/>
          <w:color w:val="060f18"/>
          <w:sz w:val="24"/>
          <w:szCs w:val="24"/>
          <w:rtl w:val="0"/>
        </w:rPr>
        <w:t xml:space="preserve">O’Neil, Michael &amp; Shattuck, Lawrence &amp; Sciarini, Lee. (2015). </w:t>
      </w:r>
      <w:r w:rsidDel="00000000" w:rsidR="00000000" w:rsidRPr="00000000">
        <w:rPr>
          <w:rFonts w:ascii="Source Sans Pro" w:cs="Source Sans Pro" w:eastAsia="Source Sans Pro" w:hAnsi="Source Sans Pro"/>
          <w:i w:val="1"/>
          <w:iCs w:val="1"/>
          <w:color w:val="060f18"/>
          <w:sz w:val="24"/>
          <w:szCs w:val="24"/>
          <w:rtl w:val="0"/>
        </w:rPr>
        <w:t xml:space="preserve">A Framework for Assessing and Communicating Human Systems Integration Efficacy Across the System Lifecycle</w:t>
      </w:r>
      <w:r w:rsidDel="00000000" w:rsidR="00000000" w:rsidRPr="00000000">
        <w:rPr>
          <w:rFonts w:ascii="Source Sans Pro" w:cs="Source Sans Pro" w:eastAsia="Source Sans Pro" w:hAnsi="Source Sans Pro"/>
          <w:color w:val="060f18"/>
          <w:sz w:val="24"/>
          <w:szCs w:val="24"/>
          <w:rtl w:val="0"/>
        </w:rPr>
        <w:t xml:space="preserve">. Procedia Manufacturing. 3. 3054-3061. </w:t>
      </w:r>
    </w:p>
    <w:p w:rsidR="00000000" w:rsidDel="00000000" w:rsidP="00000000" w:rsidRDefault="00000000" w:rsidRPr="00000000" w14:paraId="0000005C">
      <w:pPr>
        <w:spacing w:line="276"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5D">
      <w:pPr>
        <w:spacing w:line="276" w:lineRule="auto"/>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tl w:val="0"/>
        </w:rPr>
        <w:t xml:space="preserve">Military Awards &amp; Designations</w:t>
        <w:br w:type="textWrapping"/>
      </w:r>
    </w:p>
    <w:p w:rsidR="00000000" w:rsidDel="00000000" w:rsidP="00000000" w:rsidRDefault="00000000" w:rsidRPr="00000000" w14:paraId="0000005E">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Selected Military Awards</w:t>
      </w:r>
      <w:r w:rsidDel="00000000" w:rsidR="00000000" w:rsidRPr="00000000">
        <w:rPr>
          <w:rFonts w:ascii="Source Sans Pro" w:cs="Source Sans Pro" w:eastAsia="Source Sans Pro" w:hAnsi="Source Sans Pro"/>
          <w:sz w:val="24"/>
          <w:szCs w:val="24"/>
          <w:rtl w:val="0"/>
        </w:rPr>
        <w:t xml:space="preserve">: </w:t>
        <w:br w:type="textWrapping"/>
        <w:t xml:space="preserve">Armed Forces Meritorious Service Medal (2 awards)</w:t>
        <w:br w:type="textWrapping"/>
        <w:t xml:space="preserve">Coast Guard Commendation Medal (2 awards)</w:t>
      </w:r>
    </w:p>
    <w:p w:rsidR="00000000" w:rsidDel="00000000" w:rsidP="00000000" w:rsidRDefault="00000000" w:rsidRPr="00000000" w14:paraId="0000005F">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Coast Guard Achievement Medal (3 awards)</w:t>
        <w:br w:type="textWrapping"/>
        <w:t xml:space="preserve">Commandant’s Letter of Commendation Ribbon Bar</w:t>
        <w:br w:type="textWrapping"/>
        <w:t xml:space="preserve">Armed Forces Expeditionary Medal</w:t>
      </w:r>
    </w:p>
    <w:p w:rsidR="00000000" w:rsidDel="00000000" w:rsidP="00000000" w:rsidRDefault="00000000" w:rsidRPr="00000000" w14:paraId="00000060">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Global War on Terrorism Expeditionary Medal</w:t>
      </w:r>
    </w:p>
    <w:p w:rsidR="00000000" w:rsidDel="00000000" w:rsidP="00000000" w:rsidRDefault="00000000" w:rsidRPr="00000000" w14:paraId="00000061">
      <w:pPr>
        <w:spacing w:line="276"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62">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u w:val="single"/>
          <w:rtl w:val="0"/>
        </w:rPr>
        <w:t xml:space="preserve">Professional Designations</w:t>
      </w:r>
      <w:r w:rsidDel="00000000" w:rsidR="00000000" w:rsidRPr="00000000">
        <w:rPr>
          <w:rFonts w:ascii="Source Sans Pro" w:cs="Source Sans Pro" w:eastAsia="Source Sans Pro" w:hAnsi="Source Sans Pro"/>
          <w:sz w:val="24"/>
          <w:szCs w:val="24"/>
          <w:rtl w:val="0"/>
        </w:rPr>
        <w:t xml:space="preserve">:</w:t>
      </w:r>
    </w:p>
    <w:p w:rsidR="00000000" w:rsidDel="00000000" w:rsidP="00000000" w:rsidRDefault="00000000" w:rsidRPr="00000000" w14:paraId="00000063">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USCG Boat Forces Operations Insignia (Permanent)</w:t>
      </w:r>
    </w:p>
    <w:p w:rsidR="00000000" w:rsidDel="00000000" w:rsidP="00000000" w:rsidRDefault="00000000" w:rsidRPr="00000000" w14:paraId="00000064">
      <w:pPr>
        <w:spacing w:line="276"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USCG Tactical Law Enforcement Insignia (Permanent)</w:t>
      </w:r>
    </w:p>
    <w:p w:rsidR="00000000" w:rsidDel="00000000" w:rsidP="00000000" w:rsidRDefault="00000000" w:rsidRPr="00000000" w14:paraId="00000065">
      <w:pPr>
        <w:rPr/>
      </w:pPr>
      <w:r w:rsidDel="00000000" w:rsidR="00000000" w:rsidRPr="00000000">
        <w:rPr>
          <w:rtl w:val="0"/>
        </w:rPr>
      </w:r>
    </w:p>
    <w:sectPr>
      <w:headerReference r:id="rId8" w:type="first"/>
      <w:footerReference r:id="rId9" w:type="defaul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00" w:line="300" w:lineRule="auto"/>
      <w:ind w:left="0" w:right="0" w:firstLine="0"/>
      <w:jc w:val="right"/>
      <w:rPr>
        <w:rFonts w:ascii="Calibri" w:cs="Calibri" w:eastAsia="Calibri" w:hAnsi="Calibri"/>
        <w:b w:val="0"/>
        <w:bCs w:val="0"/>
        <w:i w:val="0"/>
        <w:iCs w:val="0"/>
        <w:smallCaps w:val="0"/>
        <w:strike w:val="0"/>
        <w:color w:val="ed7d3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ed7d31"/>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Source Sans Pro" w:cs="Source Sans Pro" w:eastAsia="Source Sans Pro" w:hAnsi="Source Sans Pro"/>
        <w:b w:val="0"/>
        <w:bCs w:val="0"/>
        <w:i w:val="0"/>
        <w:iCs w:val="0"/>
        <w:smallCaps w:val="0"/>
        <w:strike w:val="0"/>
        <w:color w:val="060f18"/>
        <w:sz w:val="20"/>
        <w:szCs w:val="20"/>
        <w:u w:val="none"/>
        <w:shd w:fill="auto" w:val="clear"/>
        <w:vertAlign w:val="baseline"/>
      </w:rPr>
    </w:pPr>
    <w:r w:rsidDel="00000000" w:rsidR="00000000" w:rsidRPr="00000000">
      <w:rPr>
        <w:rFonts w:ascii="Source Sans Pro" w:cs="Source Sans Pro" w:eastAsia="Source Sans Pro" w:hAnsi="Source Sans Pro"/>
        <w:b w:val="1"/>
        <w:bCs w:val="1"/>
        <w:i w:val="0"/>
        <w:iCs w:val="0"/>
        <w:smallCaps w:val="0"/>
        <w:strike w:val="0"/>
        <w:color w:val="060f18"/>
        <w:sz w:val="24"/>
        <w:szCs w:val="24"/>
        <w:u w:val="none"/>
        <w:shd w:fill="auto" w:val="clear"/>
        <w:vertAlign w:val="baseline"/>
        <w:rtl w:val="0"/>
      </w:rPr>
      <w:t xml:space="preserve">Michael O’Neil, M.S., CHFP</w:t>
      <w:br w:type="textWrapping"/>
    </w:r>
    <w:r w:rsidDel="00000000" w:rsidR="00000000" w:rsidRPr="00000000">
      <w:rPr>
        <w:rFonts w:ascii="Source Sans Pro" w:cs="Source Sans Pro" w:eastAsia="Source Sans Pro" w:hAnsi="Source Sans Pro"/>
        <w:b w:val="0"/>
        <w:bCs w:val="0"/>
        <w:i w:val="0"/>
        <w:iCs w:val="0"/>
        <w:smallCaps w:val="0"/>
        <w:strike w:val="0"/>
        <w:color w:val="060f18"/>
        <w:sz w:val="20"/>
        <w:szCs w:val="20"/>
        <w:u w:val="none"/>
        <w:shd w:fill="auto" w:val="clear"/>
        <w:vertAlign w:val="baseline"/>
        <w:rtl w:val="0"/>
      </w:rPr>
      <w:t xml:space="preserve">Commander, USCG (retired)</w:t>
    </w:r>
    <w:r w:rsidDel="00000000" w:rsidR="00000000" w:rsidRPr="00000000">
      <w:rPr>
        <w:rFonts w:ascii="Source Sans Pro" w:cs="Source Sans Pro" w:eastAsia="Source Sans Pro" w:hAnsi="Source Sans Pro"/>
        <w:b w:val="1"/>
        <w:bCs w:val="1"/>
        <w:i w:val="0"/>
        <w:iCs w:val="0"/>
        <w:smallCaps w:val="0"/>
        <w:strike w:val="0"/>
        <w:color w:val="060f18"/>
        <w:sz w:val="24"/>
        <w:szCs w:val="24"/>
        <w:u w:val="none"/>
        <w:shd w:fill="auto" w:val="clear"/>
        <w:vertAlign w:val="baseline"/>
        <w:rtl w:val="0"/>
      </w:rPr>
      <w:br w:type="textWrapping"/>
    </w:r>
    <w:r w:rsidDel="00000000" w:rsidR="00000000" w:rsidRPr="00000000">
      <w:rPr>
        <w:rFonts w:ascii="Source Sans Pro" w:cs="Source Sans Pro" w:eastAsia="Source Sans Pro" w:hAnsi="Source Sans Pro"/>
        <w:b w:val="0"/>
        <w:bCs w:val="0"/>
        <w:i w:val="0"/>
        <w:iCs w:val="0"/>
        <w:smallCaps w:val="0"/>
        <w:strike w:val="0"/>
        <w:color w:val="060f18"/>
        <w:sz w:val="20"/>
        <w:szCs w:val="20"/>
        <w:u w:val="none"/>
        <w:shd w:fill="auto" w:val="clear"/>
        <w:vertAlign w:val="baseline"/>
        <w:rtl w:val="0"/>
      </w:rPr>
      <w:t xml:space="preserve">Pacific Grove, CA </w:t>
    </w:r>
    <w:r w:rsidDel="00000000" w:rsidR="00000000" w:rsidRPr="00000000">
      <w:rPr>
        <w:rFonts w:ascii="Noto Sans Symbols" w:cs="Noto Sans Symbols" w:eastAsia="Noto Sans Symbols" w:hAnsi="Noto Sans Symbols"/>
        <w:b w:val="0"/>
        <w:bCs w:val="0"/>
        <w:i w:val="0"/>
        <w:iCs w:val="0"/>
        <w:smallCaps w:val="0"/>
        <w:strike w:val="0"/>
        <w:color w:val="060f18"/>
        <w:sz w:val="20"/>
        <w:szCs w:val="20"/>
        <w:u w:val="none"/>
        <w:shd w:fill="auto" w:val="clear"/>
        <w:vertAlign w:val="baseline"/>
        <w:rtl w:val="0"/>
      </w:rPr>
      <w:br w:type="textWrapping"/>
    </w:r>
    <w:r w:rsidDel="00000000" w:rsidR="00000000" w:rsidRPr="00000000">
      <w:rPr>
        <w:rFonts w:ascii="Source Sans Pro" w:cs="Source Sans Pro" w:eastAsia="Source Sans Pro" w:hAnsi="Source Sans Pro"/>
        <w:b w:val="0"/>
        <w:bCs w:val="0"/>
        <w:i w:val="0"/>
        <w:iCs w:val="0"/>
        <w:smallCaps w:val="0"/>
        <w:strike w:val="0"/>
        <w:color w:val="060f18"/>
        <w:sz w:val="20"/>
        <w:szCs w:val="20"/>
        <w:u w:val="none"/>
        <w:shd w:fill="auto" w:val="clear"/>
        <w:vertAlign w:val="baseline"/>
        <w:rtl w:val="0"/>
      </w:rPr>
      <w:t xml:space="preserve">617.694.5665</w:t>
      <w:br w:type="textWrapping"/>
      <w:t xml:space="preserve">artifex.imagery@gmail.com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E017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E017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E017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E017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E017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E017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E017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E017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E01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E01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E01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E017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E017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E01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E01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E0179"/>
    <w:rPr>
      <w:i w:val="1"/>
      <w:iCs w:val="1"/>
      <w:color w:val="404040" w:themeColor="text1" w:themeTint="0000BF"/>
    </w:rPr>
  </w:style>
  <w:style w:type="paragraph" w:styleId="ListParagraph">
    <w:name w:val="List Paragraph"/>
    <w:basedOn w:val="Normal"/>
    <w:qFormat w:val="1"/>
    <w:rsid w:val="006E0179"/>
    <w:pPr>
      <w:ind w:left="720"/>
      <w:contextualSpacing w:val="1"/>
    </w:pPr>
  </w:style>
  <w:style w:type="character" w:styleId="IntenseEmphasis">
    <w:name w:val="Intense Emphasis"/>
    <w:basedOn w:val="DefaultParagraphFont"/>
    <w:uiPriority w:val="21"/>
    <w:qFormat w:val="1"/>
    <w:rsid w:val="006E0179"/>
    <w:rPr>
      <w:i w:val="1"/>
      <w:iCs w:val="1"/>
      <w:color w:val="2f5496" w:themeColor="accent1" w:themeShade="0000BF"/>
    </w:rPr>
  </w:style>
  <w:style w:type="paragraph" w:styleId="IntenseQuote">
    <w:name w:val="Intense Quote"/>
    <w:basedOn w:val="Normal"/>
    <w:next w:val="Normal"/>
    <w:link w:val="IntenseQuoteChar"/>
    <w:uiPriority w:val="30"/>
    <w:qFormat w:val="1"/>
    <w:rsid w:val="006E017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6E0179"/>
    <w:rPr>
      <w:i w:val="1"/>
      <w:iCs w:val="1"/>
      <w:color w:val="2f5496" w:themeColor="accent1" w:themeShade="0000BF"/>
    </w:rPr>
  </w:style>
  <w:style w:type="character" w:styleId="IntenseReference">
    <w:name w:val="Intense Reference"/>
    <w:basedOn w:val="DefaultParagraphFont"/>
    <w:uiPriority w:val="32"/>
    <w:qFormat w:val="1"/>
    <w:rsid w:val="006E0179"/>
    <w:rPr>
      <w:b w:val="1"/>
      <w:bCs w:val="1"/>
      <w:smallCaps w:val="1"/>
      <w:color w:val="2f5496" w:themeColor="accent1" w:themeShade="0000BF"/>
      <w:spacing w:val="5"/>
    </w:rPr>
  </w:style>
  <w:style w:type="paragraph" w:styleId="Footer">
    <w:name w:val="footer"/>
    <w:basedOn w:val="Normal"/>
    <w:link w:val="FooterChar"/>
    <w:rsid w:val="006E0179"/>
    <w:pPr>
      <w:tabs>
        <w:tab w:val="center" w:pos="4680"/>
        <w:tab w:val="right" w:pos="9360"/>
      </w:tabs>
      <w:spacing w:before="200"/>
      <w:jc w:val="right"/>
    </w:pPr>
    <w:rPr>
      <w:color w:val="ed7d31" w:themeColor="accent2"/>
    </w:rPr>
  </w:style>
  <w:style w:type="character" w:styleId="FooterChar" w:customStyle="1">
    <w:name w:val="Footer Char"/>
    <w:basedOn w:val="DefaultParagraphFont"/>
    <w:link w:val="Footer"/>
    <w:rsid w:val="006E0179"/>
    <w:rPr>
      <w:rFonts w:eastAsiaTheme="minorEastAsia"/>
      <w:color w:val="ed7d31" w:themeColor="accent2"/>
      <w:sz w:val="20"/>
    </w:rPr>
  </w:style>
  <w:style w:type="paragraph" w:styleId="ContactDetails" w:customStyle="1">
    <w:name w:val="Contact Details"/>
    <w:basedOn w:val="Normal"/>
    <w:rsid w:val="006E0179"/>
    <w:pPr>
      <w:spacing w:after="240" w:before="120" w:line="240" w:lineRule="auto"/>
    </w:pPr>
    <w:rPr>
      <w:color w:val="4472c4" w:themeColor="accent1"/>
      <w:sz w:val="18"/>
      <w:szCs w:val="18"/>
    </w:rPr>
  </w:style>
  <w:style w:type="character" w:styleId="Hyperlink">
    <w:name w:val="Hyperlink"/>
    <w:basedOn w:val="DefaultParagraphFont"/>
    <w:uiPriority w:val="99"/>
    <w:unhideWhenUsed w:val="1"/>
    <w:rsid w:val="006E0179"/>
    <w:rPr>
      <w:color w:val="0563c1" w:themeColor="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s.dtic.mil/sti/tr/pdf/ADA608012.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QSUdf+Waknbpg19NUIbwuOWA==">CgMxLjA4AHIhMVc4LXhKajhkcDByaTlMQkNFU3NFcEpGQjEyOWdjNnc5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2025-02-11T03:47:00Z</dcterms:created>
  <dc:creator>Mike O'Neil</dc:creator>
</cp:coreProperties>
</file>